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3811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H. C.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Harold C.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 [</w:t>
      </w:r>
      <m:oMath>
        <m:r>
          <m:t>A</m:t>
        </m:r>
        <m:r>
          <m:t>N</m:t>
        </m:r>
        <m:r>
          <m:t>P</m:t>
        </m:r>
        <m:sSub>
          <m:e>
            <m:r>
              <m:t>P</m:t>
            </m:r>
          </m:e>
          <m:sub>
            <m:r>
              <m:t>w</m:t>
            </m:r>
            <m:r>
              <m:t>o</m:t>
            </m:r>
            <m:r>
              <m:t>o</m:t>
            </m:r>
            <m:r>
              <m:t>d</m:t>
            </m:r>
            <m:r>
              <m:t>y</m:t>
            </m:r>
          </m:sub>
        </m:sSub>
      </m:oMath>
      <w:r>
        <w:t xml:space="preserve">;</w:t>
      </w:r>
      <w:r>
        <w:t xml:space="preserve"> </w:t>
      </w:r>
      <w:r>
        <w:t xml:space="preserve">Graumlich et al. (1989)</w:t>
      </w:r>
      <w:r>
        <w:t xml:space="preserve">;</w:t>
      </w:r>
      <w:r>
        <w:t xml:space="preserve"> </w:t>
      </w:r>
      <w:r>
        <w:t xml:space="preserve">Davis et al. (2009)</w:t>
      </w:r>
      <w:r>
        <w:t xml:space="preserve">;</w:t>
      </w:r>
      <w:r>
        <w:t xml:space="preserve"> </w:t>
      </w:r>
      <w:r>
        <w:t xml:space="preserve">Dye et al. (2016)</w:t>
      </w:r>
      <w:r>
        <w:t xml:space="preserve">;</w:t>
      </w:r>
      <w:r>
        <w:t xml:space="preserve"> </w:t>
      </w:r>
      <w:r>
        <w:t xml:space="preserve">Teets, Fraver, Hollinger, et al. (2018)</w:t>
      </w:r>
      <w:r>
        <w:t xml:space="preserve">] 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(Harold C. 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Harold C.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in review;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(Harold C. 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EdwardR.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in review)</w:t>
      </w:r>
      <w:r>
        <w:t xml:space="preserve">, yet growth sensitivity to their additive or interactive effects, potentially operating over different time windows, is not commonly considered</w:t>
      </w:r>
      <w:r>
        <w:t xml:space="preserve"> </w:t>
      </w:r>
      <w:r>
        <w:t xml:space="preserve">(Foster et al., 2016; but see Meko et al., 2011;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 [e.g., height, crown size and position, root mass;</w:t>
      </w:r>
      <w:r>
        <w:t xml:space="preserve"> </w:t>
      </w:r>
      <w:r>
        <w:t xml:space="preserve">Enquist &amp; Niklas (2002)</w:t>
      </w:r>
      <w:r>
        <w:t xml:space="preserve">] and therefore is one of the most important variables influencing growth</w:t>
      </w:r>
      <w:r>
        <w:t xml:space="preserve"> </w:t>
      </w:r>
      <w:r>
        <w:t xml:space="preserve">(Foster et al., 2016; e.g.,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(E. R. 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(Harold C. 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 [ForestGEO;</w:t>
      </w:r>
      <w:r>
        <w:t xml:space="preserve"> </w:t>
      </w:r>
      <w:r>
        <w:t xml:space="preserve">K. J. Anderson-Teixeira, Davies, et al. (2015)</w:t>
      </w:r>
      <w:r>
        <w:t xml:space="preserve">;</w:t>
      </w:r>
      <w:r>
        <w:t xml:space="preserve"> </w:t>
      </w:r>
      <w:r>
        <w:t xml:space="preserve">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4513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fiting penalized thin plate regression splines in generalized additive models (GAM, function</w:t>
      </w:r>
      <w:r>
        <w:t xml:space="preserve"> </w:t>
      </w:r>
      <w:r>
        <w:rPr>
          <w:i/>
        </w:rPr>
        <w:t xml:space="preserve">gam</w:t>
      </w:r>
      <w:r>
        <w:t xml:space="preserve"> </w:t>
      </w:r>
      <w:r>
        <w:t xml:space="preserve">and</w:t>
      </w:r>
      <w:r>
        <w:t xml:space="preserve"> </w:t>
      </w:r>
      <w:r>
        <w:rPr>
          <w:i/>
        </w:rPr>
        <w:t xml:space="preserve">s</w:t>
      </w:r>
      <w:r>
        <w:t xml:space="preserve"> </w:t>
      </w:r>
      <w:r>
        <w:t xml:space="preserve">in R Package</w:t>
      </w:r>
      <w:r>
        <w:t xml:space="preserve"> </w:t>
      </w:r>
      <w:r>
        <w:rPr>
          <w:i/>
        </w:rPr>
        <w:t xml:space="preserve">mgcv</w:t>
      </w:r>
      <w:r>
        <w:t xml:space="preserve">,</w:t>
      </w:r>
      <w:r>
        <w:t xml:space="preserve"> </w:t>
      </w:r>
      <w:r>
        <w:t xml:space="preserve">(Wood, 2011)</w:t>
      </w:r>
      <w:r>
        <w:t xml:space="preserv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The smoothing parameters were automaticaaly selected by the</w:t>
      </w:r>
      <w:r>
        <w:t xml:space="preserve"> </w:t>
      </w:r>
      <w:r>
        <w:rPr>
          <w:i/>
        </w:rPr>
        <w:t xml:space="preserve">gam</w:t>
      </w:r>
      <w:r>
        <w:t xml:space="preserve"> </w:t>
      </w:r>
      <w:r>
        <w:t xml:space="preserve">function by generalised cross-validation (GCV).</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linear mixed-effects models (function</w:t>
      </w:r>
      <w:r>
        <w:t xml:space="preserve"> </w:t>
      </w:r>
      <w:r>
        <w:rPr>
          <w:i/>
        </w:rPr>
        <w:t xml:space="preserve">lme</w:t>
      </w:r>
      <w:r>
        <w:t xml:space="preserve"> </w:t>
      </w:r>
      <w:r>
        <w:t xml:space="preserve">in R package</w:t>
      </w:r>
      <w:r>
        <w:t xml:space="preserve"> </w:t>
      </w:r>
      <w:r>
        <w:rPr>
          <w:i/>
        </w:rPr>
        <w:t xml:space="preserve">nlme</w:t>
      </w:r>
      <w:r>
        <w:t xml:space="preserve">), with core identity as random intercept and</w:t>
      </w:r>
      <w:r>
        <w:t xml:space="preserve"> </w:t>
      </w:r>
      <m:oMath>
        <m:r>
          <m:t>y</m:t>
        </m:r>
        <m:r>
          <m:t>e</m:t>
        </m:r>
        <m:r>
          <m:t>a</m:t>
        </m:r>
        <m:r>
          <m:t>r</m:t>
        </m:r>
      </m:oMath>
      <w:r>
        <w:t xml:space="preserve"> </w:t>
      </w:r>
      <w:r>
        <w:t xml:space="preserve">as continuous time covariate for the within-group correlation structure (function</w:t>
      </w:r>
      <w:r>
        <w:t xml:space="preserve"> </w:t>
      </w:r>
      <w:r>
        <w:rPr>
          <w:i/>
        </w:rPr>
        <w:t xml:space="preserve">corCAR1</w:t>
      </w:r>
      <w:r>
        <w:t xml:space="preserve">). We will reffer to this model as a generalized least squares (GLS) model (Fig. 1).</w:t>
      </w:r>
    </w:p>
    <w:p>
      <w:pPr>
        <w:pStyle w:val="BodyText"/>
      </w:pP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As an example of a full model for</w:t>
      </w:r>
      <w:r>
        <w:t xml:space="preserve"> </w:t>
      </w:r>
      <m:oMath>
        <m:r>
          <m:t>l</m:t>
        </m:r>
        <m:r>
          <m:t>o</m:t>
        </m:r>
        <m:r>
          <m:t>g</m:t>
        </m:r>
        <m:r>
          <m:t>[</m:t>
        </m:r>
        <m:r>
          <m:t>Δ</m:t>
        </m:r>
        <m:r>
          <m:t>r</m:t>
        </m:r>
        <m:r>
          <m:t>]</m:t>
        </m:r>
      </m:oMath>
      <w:r>
        <w:t xml:space="preserve"> </w:t>
      </w:r>
      <w:r>
        <w:t xml:space="preserve">would look like this in</w:t>
      </w:r>
      <w:r>
        <w:t xml:space="preserve"> </w:t>
      </w:r>
      <w:r>
        <w:rPr>
          <w:i/>
        </w:rPr>
        <w:t xml:space="preserve">R</w:t>
      </w:r>
      <w:r>
        <w:t xml:space="preserve">:</w:t>
      </w:r>
      <w:r>
        <w:t xml:space="preserve"> </w:t>
      </w:r>
      <w:r>
        <w:rPr>
          <w:i/>
        </w:rPr>
        <w:t xml:space="preserve">lme(</w:t>
      </w:r>
      <m:oMath>
        <m:r>
          <m:t>l</m:t>
        </m:r>
        <m:r>
          <m:t>o</m:t>
        </m:r>
        <m:r>
          <m:t>g</m:t>
        </m:r>
        <m:r>
          <m:t>[</m:t>
        </m:r>
        <m:r>
          <m:t>Δ</m:t>
        </m:r>
        <m:r>
          <m:t>r</m:t>
        </m:r>
        <m:r>
          <m:t>]</m:t>
        </m:r>
      </m:oMath>
      <w:r>
        <w:rPr>
          <w:i/>
        </w:rPr>
        <w:t xml:space="preserve"> </w:t>
      </w:r>
      <w:r>
        <w:rPr>
          <w:i/>
        </w:rPr>
        <w:t xml:space="preserve">~</w:t>
      </w:r>
      <w:r>
        <w:rPr>
          <w:i/>
        </w:rPr>
        <w:t xml:space="preserve"> </w:t>
      </w:r>
      <m:oMath>
        <m:r>
          <m:t>P</m:t>
        </m:r>
        <m:r>
          <m:t>E</m:t>
        </m:r>
        <m:r>
          <m:t>T</m:t>
        </m:r>
      </m:oMath>
      <w:r>
        <w:rPr>
          <w:i/>
        </w:rPr>
        <w:t xml:space="preserve"> </w:t>
      </w:r>
      <w:r>
        <w:rPr>
          <w:i/>
        </w:rPr>
        <w:t xml:space="preserve">+ I(</w:t>
      </w:r>
      <m:oMath>
        <m:r>
          <m:t>P</m:t>
        </m:r>
        <m:r>
          <m:t>E</m:t>
        </m:r>
        <m:r>
          <m:t>T</m:t>
        </m:r>
      </m:oMath>
      <w:r>
        <w:rPr>
          <w:i/>
        </w:rPr>
        <w:t xml:space="preserve">^2) +</w:t>
      </w:r>
      <w:r>
        <w:rPr>
          <w:i/>
        </w:rPr>
        <w:t xml:space="preserve"> </w:t>
      </w:r>
      <m:oMath>
        <m:sSub>
          <m:e>
            <m:r>
              <m:t>T</m:t>
            </m:r>
          </m:e>
          <m:sub>
            <m:r>
              <m:t>m</m:t>
            </m:r>
            <m:r>
              <m:t>i</m:t>
            </m:r>
            <m:r>
              <m:t>n</m:t>
            </m:r>
          </m:sub>
        </m:sSub>
      </m:oMath>
      <w:r>
        <w:rPr>
          <w:i/>
        </w:rPr>
        <w:t xml:space="preserve"> </w:t>
      </w:r>
      <w:r>
        <w:rPr>
          <w:i/>
        </w:rPr>
        <w:t xml:space="preserve">+ I(</w:t>
      </w:r>
      <m:oMath>
        <m:sSub>
          <m:e>
            <m:r>
              <m:t>T</m:t>
            </m:r>
          </m:e>
          <m:sub>
            <m:r>
              <m:t>m</m:t>
            </m:r>
            <m:r>
              <m:t>i</m:t>
            </m:r>
            <m:r>
              <m:t>n</m:t>
            </m:r>
          </m:sub>
        </m:sSub>
      </m:oMath>
      <w:r>
        <w:rPr>
          <w:i/>
        </w:rPr>
        <w:t xml:space="preserve">^2) +</w:t>
      </w:r>
      <w:r>
        <w:rPr>
          <w:i/>
        </w:rPr>
        <w:t xml:space="preserve"> </w:t>
      </w:r>
      <m:oMath>
        <m:r>
          <m:t>D</m:t>
        </m:r>
        <m:r>
          <m:t>B</m:t>
        </m:r>
        <m:r>
          <m:t>H</m:t>
        </m:r>
      </m:oMath>
      <w:r>
        <w:rPr>
          <w:i/>
        </w:rPr>
        <w:t xml:space="preserve"> </w:t>
      </w:r>
      <w:r>
        <w:rPr>
          <w:i/>
        </w:rPr>
        <w:t xml:space="preserve">+ I(</w:t>
      </w:r>
      <m:oMath>
        <m:r>
          <m:t>D</m:t>
        </m:r>
        <m:r>
          <m:t>B</m:t>
        </m:r>
        <m:r>
          <m:t>H</m:t>
        </m:r>
      </m:oMath>
      <w:r>
        <w:rPr>
          <w:i/>
        </w:rPr>
        <w:t xml:space="preserve">^2)</w:t>
      </w:r>
      <w:r>
        <w:rPr>
          <w:i/>
        </w:rPr>
        <w:t xml:space="preserve">“</w:t>
      </w:r>
      <w:r>
        <w:rPr>
          <w:i/>
        </w:rPr>
        <w:t xml:space="preserve">, random = ~1|</w:t>
      </w:r>
      <m:oMath>
        <m:r>
          <m:t>c</m:t>
        </m:r>
        <m:r>
          <m:t>o</m:t>
        </m:r>
        <m:r>
          <m:t>r</m:t>
        </m:r>
        <m:r>
          <m:t>e</m:t>
        </m:r>
        <m:r>
          <m:t>I</m:t>
        </m:r>
        <m:r>
          <m:t>D</m:t>
        </m:r>
      </m:oMath>
      <w:r>
        <w:rPr>
          <w:i/>
        </w:rPr>
        <w:t xml:space="preserve">, correlation = corCAR1(form=~</w:t>
      </w:r>
      <m:oMath>
        <m:r>
          <m:t>Y</m:t>
        </m:r>
        <m:r>
          <m:t>e</m:t>
        </m:r>
        <m:r>
          <m:t>a</m:t>
        </m:r>
        <m:r>
          <m:t>r</m:t>
        </m:r>
      </m:oMath>
      <w:r>
        <w:rPr>
          <w:i/>
        </w:rPr>
        <w:t xml:space="preserve">|</w:t>
      </w:r>
      <m:oMath>
        <m:r>
          <m:t>c</m:t>
        </m:r>
        <m:r>
          <m:t>o</m:t>
        </m:r>
        <m:r>
          <m:t>r</m:t>
        </m:r>
        <m:r>
          <m:t>e</m:t>
        </m:r>
        <m:r>
          <m:t>I</m:t>
        </m:r>
        <m:r>
          <m:t>D</m:t>
        </m:r>
      </m:oMath>
      <w:r>
        <w:rPr>
          <w:i/>
        </w:rPr>
        <w:t xml:space="preserve">), data =</w:t>
      </w:r>
      <w:r>
        <w:rPr>
          <w:i/>
        </w:rPr>
        <w:t xml:space="preserve"> </w:t>
      </w:r>
      <m:oMath>
        <m:r>
          <m:t>x</m:t>
        </m:r>
      </m:oMath>
      <w:r>
        <w:rPr>
          <w:i/>
        </w:rPr>
        <w:t xml:space="preserve">, na.action =</w:t>
      </w:r>
      <w:r>
        <w:rPr>
          <w:i/>
        </w:rPr>
        <w:t xml:space="preserve">”</w:t>
      </w:r>
      <w:r>
        <w:rPr>
          <w:i/>
        </w:rPr>
        <w:t xml:space="preserve">na.fail</w:t>
      </w:r>
      <w:r>
        <w:rPr>
          <w:i/>
        </w:rPr>
        <w:t xml:space="preserve">“</w:t>
      </w:r>
      <w:r>
        <w:rPr>
          <w:i/>
        </w:rPr>
        <w:t xml:space="preserve">, method =</w:t>
      </w:r>
      <w:r>
        <w:rPr>
          <w:i/>
        </w:rPr>
        <w:t xml:space="preserve">”</w:t>
      </w:r>
      <w:r>
        <w:rPr>
          <w:i/>
        </w:rPr>
        <w:t xml:space="preserve">ML")</w:t>
      </w:r>
      <w:r>
        <w:t xml:space="preserve"> </w:t>
      </w:r>
      <w:r>
        <w:t xml:space="preserve">where</w:t>
      </w:r>
      <w:r>
        <w:t xml:space="preserve"> </w:t>
      </w:r>
      <m:oMath>
        <m:r>
          <m:t>x</m:t>
        </m:r>
      </m:oMath>
      <w:r>
        <w:t xml:space="preserve"> </w:t>
      </w:r>
      <w:r>
        <w:t xml:space="preserve">is a complete data set (with no missing value) for one species at one site. The method is set to maximum likelihood (</w:t>
      </w:r>
      <w:r>
        <w:rPr>
          <w:i/>
        </w:rPr>
        <w:t xml:space="preserve">ML</w:t>
      </w:r>
      <w:r>
        <w:t xml:space="preserve">) during the model selection phase, but to restricted maximizing likelihood (</w:t>
      </w:r>
      <w:r>
        <w:rPr>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[produced using the bootRes package in R;</w:t>
      </w:r>
      <w:r>
        <w:t xml:space="preserve"> </w:t>
      </w:r>
      <w:r>
        <w:t xml:space="preserve">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 Figs. 3, S37, S343),</w:t>
      </w:r>
      <w:r>
        <w:t xml:space="preserve"> </w:t>
      </w:r>
      <w:r>
        <w:rPr>
          <w:i/>
        </w:rPr>
        <w:t xml:space="preserve">climwin</w:t>
      </w:r>
      <w:r>
        <w:t xml:space="preserve"> </w:t>
      </w:r>
      <w:r>
        <w:t xml:space="preserve">identified different climate variables and different time windows (e.g., Fig. S18).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
        </w:rPr>
        <w:t xml:space="preserve">Chukrasia tabularis</w:t>
      </w:r>
      <w:r>
        <w:t xml:space="preserve"> </w:t>
      </w:r>
      <w:r>
        <w:t xml:space="preserve">at HKK and</w:t>
      </w:r>
      <w:r>
        <w:t xml:space="preserve"> </w:t>
      </w:r>
      <w:r>
        <w:rPr>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LDW,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 and these trends were consistent with those observed in a separate analysis of</w:t>
      </w:r>
      <w:r>
        <w:t xml:space="preserve"> </w:t>
      </w:r>
      <m:oMath>
        <m:r>
          <m:t>D</m:t>
        </m:r>
        <m:r>
          <m:t>B</m:t>
        </m:r>
        <m:r>
          <m:t>H</m:t>
        </m:r>
      </m:oMath>
      <w:r>
        <w:t xml:space="preserve">-growth relationships by year (Figs. S58-S67).</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 [REFS;</w:t>
      </w:r>
      <w:r>
        <w:t xml:space="preserve"> </w:t>
      </w:r>
      <w:r>
        <w:t xml:space="preserve">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Figs. 5, S56, S57).</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 [REFS;</w:t>
      </w:r>
      <w:r>
        <w:t xml:space="preserve"> </w:t>
      </w:r>
      <w:r>
        <w:t xml:space="preserve">Bennett et al. (2015)</w:t>
      </w:r>
      <w:r>
        <w:t xml:space="preserve">;</w:t>
      </w:r>
      <w:r>
        <w:t xml:space="preserve"> </w:t>
      </w:r>
      <w:r>
        <w:t xml:space="preserve">Hacket-Pain et al. (2016)</w:t>
      </w:r>
      <w:r>
        <w:t xml:space="preserve">;</w:t>
      </w:r>
      <w:r>
        <w:t xml:space="preserve"> </w:t>
      </w:r>
      <w:r>
        <w:t xml:space="preserve">Pretzsch et al. (2018)</w:t>
      </w:r>
      <w:r>
        <w:t xml:space="preserve">;</w:t>
      </w:r>
      <w:r>
        <w:t xml:space="preserve"> </w:t>
      </w:r>
      <w:r>
        <w:t xml:space="preserve">Gillerot et al. (2020)</w:t>
      </w:r>
      <w:r>
        <w:t xml:space="preserve">;</w:t>
      </w:r>
      <w:r>
        <w:t xml:space="preserve"> </w:t>
      </w:r>
      <w:r>
        <w:t xml:space="preserve">McGregor et al. (2020)</w:t>
      </w:r>
      <w:r>
        <w:t xml:space="preserve">].</w:t>
      </w:r>
      <w:r>
        <w:t xml:space="preserve"> </w:t>
      </w:r>
      <w:r>
        <w:t xml:space="preserve">An analytical structure that can account for this and other such DBH-climate interactions</w:t>
      </w:r>
      <w:r>
        <w:t xml:space="preserve"> </w:t>
      </w:r>
      <w:r>
        <w:t xml:space="preserve">(Rollinson et al., n.d.; e.g.,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(Helcoski et al., 2019; e.g., Maxwell et al., 2016;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Harold C.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(K. J. Anderson-Teixeira, McGarvey, et al., 2015; Helcoski et al., 2019; e.g.,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 [Fig. 6;</w:t>
      </w:r>
      <w:r>
        <w:t xml:space="preserve"> </w:t>
      </w:r>
      <w:r>
        <w:t xml:space="preserve">Brienen et al. (2012)</w:t>
      </w:r>
      <w:r>
        <w:t xml:space="preserve">;</w:t>
      </w:r>
      <w:r>
        <w:t xml:space="preserve"> </w:t>
      </w:r>
      <w:r>
        <w:t xml:space="preserve">(</w:t>
      </w:r>
      <w:r>
        <w:rPr>
          <w:b/>
        </w:rPr>
        <w:t xml:space="preserve">groenendijk_no_201?</w:t>
      </w:r>
      <w:r>
        <w:t xml:space="preserve">)</w:t>
      </w:r>
      <w:r>
        <w:t xml:space="preserve">;</w:t>
      </w:r>
      <w:r>
        <w:t xml:space="preserve"> </w:t>
      </w:r>
      <w:r>
        <w:t xml:space="preserve">Brienen et al. (2017)</w:t>
      </w:r>
      <w:r>
        <w:t xml:space="preserve">;</w:t>
      </w:r>
      <w:r>
        <w:t xml:space="preserve"> </w:t>
      </w:r>
      <w:r>
        <w:t xml:space="preserve">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(Goulden et al., 2011; e.g., Pregitzer &amp; Euskirchen, 2004)</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(Hember et al., 2019; e.g.,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3"/>
    <w:bookmarkStart w:id="54"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4"/>
    <w:bookmarkStart w:id="274" w:name="References"/>
    <w:p>
      <w:pPr>
        <w:pStyle w:val="Heading1"/>
      </w:pPr>
      <w:r>
        <w:t xml:space="preserve">References</w:t>
      </w:r>
    </w:p>
    <w:bookmarkStart w:id="273"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w:t>
      </w:r>
      <w:r>
        <w:rPr>
          <w:i/>
        </w:rPr>
        <w:t xml:space="preserve"> </w:t>
      </w:r>
      <w:r>
        <w:rPr>
          <w:i/>
        </w:rPr>
        <w:t xml:space="preserve">Tree</w:t>
      </w:r>
      <w:r>
        <w:rPr>
          <w:i/>
        </w:rPr>
        <w:t xml:space="preserve">-</w:t>
      </w:r>
      <w:r>
        <w:rPr>
          <w:i/>
        </w:rPr>
        <w:t xml:space="preserve">Ring Analyses Applied</w:t>
      </w:r>
      <w:r>
        <w:rPr>
          <w:i/>
        </w:rPr>
        <w:t xml:space="preserve"> </w:t>
      </w:r>
      <w:r>
        <w:rPr>
          <w:i/>
        </w:rPr>
        <w:t xml:space="preserve">to</w:t>
      </w:r>
      <w:r>
        <w:rPr>
          <w:i/>
        </w:rPr>
        <w:t xml:space="preserve"> </w:t>
      </w:r>
      <w:r>
        <w:rPr>
          <w:i/>
        </w:rPr>
        <w:t xml:space="preserve">Ecological Studies</w:t>
      </w:r>
      <w:r>
        <w:t xml:space="preserve">.</w:t>
      </w:r>
      <w:r>
        <w:t xml:space="preserve"> </w:t>
      </w:r>
      <w:r>
        <w:t xml:space="preserve">Springer International Publishing</w:t>
      </w:r>
      <w:r>
        <w:t xml:space="preserve">.</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w:t>
      </w:r>
      <w:r>
        <w:rPr>
          <w:i/>
        </w:rPr>
        <w:t xml:space="preserve">Climate</w:t>
      </w:r>
      <w:r>
        <w:rPr>
          <w:i/>
        </w:rPr>
        <w:t xml:space="preserve">:</w:t>
      </w:r>
      <w:r>
        <w:rPr>
          <w:i/>
        </w:rPr>
        <w:t xml:space="preserve"> </w:t>
      </w:r>
      <w:r>
        <w:rPr>
          <w:i/>
        </w:rPr>
        <w:t xml:space="preserve">Initial</w:t>
      </w:r>
      <w:r>
        <w:rPr>
          <w:i/>
        </w:rPr>
        <w:t xml:space="preserve"> </w:t>
      </w:r>
      <w:r>
        <w:rPr>
          <w:i/>
        </w:rPr>
        <w:t xml:space="preserve">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(in review).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
        </w:rPr>
        <w:t xml:space="preserve">NOAA NCDC</w:t>
      </w:r>
      <w:r>
        <w:t xml:space="preserve">. https://doi.org/</w:t>
      </w:r>
      <w:hyperlink r:id="rId80">
        <w:r>
          <w:rPr>
            <w:rStyle w:val="Hyperlink"/>
          </w:rPr>
          <w:t xml:space="preserve">https://www.ncdc.noaa.gov/paleo-search/study/31994</w:t>
        </w:r>
      </w:hyperlink>
    </w:p>
    <w:bookmarkEnd w:id="81"/>
    <w:bookmarkStart w:id="83" w:name="ref-birch_birch_2020-2"/>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
        </w:rPr>
        <w:t xml:space="preserve">NOAA NCDC</w:t>
      </w:r>
      <w:r>
        <w:t xml:space="preserve">. https://doi.org/</w:t>
      </w:r>
      <w:hyperlink r:id="rId82">
        <w:r>
          <w:rPr>
            <w:rStyle w:val="Hyperlink"/>
          </w:rPr>
          <w:t xml:space="preserve">https://www.ncdc.noaa.gov/paleo-search/study/31995</w:t>
        </w:r>
      </w:hyperlink>
    </w:p>
    <w:bookmarkEnd w:id="83"/>
    <w:bookmarkStart w:id="85" w:name="ref-birch_birch_2020-3"/>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
        </w:rPr>
        <w:t xml:space="preserve">NOAA NCDC</w:t>
      </w:r>
      <w:r>
        <w:t xml:space="preserve">. https://doi.org/</w:t>
      </w:r>
      <w:hyperlink r:id="rId84">
        <w:r>
          <w:rPr>
            <w:rStyle w:val="Hyperlink"/>
          </w:rPr>
          <w:t xml:space="preserve">https://www.ncdc.noaa.gov/paleo-search/study/31996</w:t>
        </w:r>
      </w:hyperlink>
    </w:p>
    <w:bookmarkEnd w:id="85"/>
    <w:bookmarkStart w:id="87" w:name="ref-birch_birch_2020-4"/>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
        </w:rPr>
        <w:t xml:space="preserve">NOAA NCDC</w:t>
      </w:r>
      <w:r>
        <w:t xml:space="preserve">. https://doi.org/</w:t>
      </w:r>
      <w:hyperlink r:id="rId86">
        <w:r>
          <w:rPr>
            <w:rStyle w:val="Hyperlink"/>
          </w:rPr>
          <w:t xml:space="preserve">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08">
        <w:r>
          <w:rPr>
            <w:rStyle w:val="Hyperlink"/>
          </w:rPr>
          <w:t xml:space="preserve">https://doi.org/10.1177/095968369700700314</w:t>
        </w:r>
      </w:hyperlink>
    </w:p>
    <w:bookmarkEnd w:id="109"/>
    <w:bookmarkStart w:id="111" w:name="ref-cook_climate_1989"/>
    <w:p>
      <w:pPr>
        <w:pStyle w:val="Bibliography"/>
      </w:pPr>
      <w:r>
        <w:t xml:space="preserve">Cook, EdwardR., &amp; Johnson, ArthurH. (1989). Climate change and forest decline:</w:t>
      </w:r>
      <w:r>
        <w:t xml:space="preserve"> </w:t>
      </w:r>
      <w:r>
        <w:t xml:space="preserve">A</w:t>
      </w:r>
      <w:r>
        <w:t xml:space="preserve"> </w:t>
      </w:r>
      <w:r>
        <w:t xml:space="preserve">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10">
        <w:r>
          <w:rPr>
            <w:rStyle w:val="Hyperlink"/>
          </w:rPr>
          <w:t xml:space="preserve">https://doi.org/10.1007/BF00282374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Harold C. (1976).</w:t>
      </w:r>
      <w:r>
        <w:t xml:space="preserve"> </w:t>
      </w:r>
      <w:r>
        <w:rPr>
          <w:i/>
        </w:rPr>
        <w:t xml:space="preserve">Tree rings and climate</w:t>
      </w:r>
      <w:r>
        <w:t xml:space="preserve">.</w:t>
      </w:r>
      <w:r>
        <w:t xml:space="preserve"> </w:t>
      </w:r>
      <w:r>
        <w:t xml:space="preserve">Academic Press</w:t>
      </w:r>
      <w:r>
        <w:t xml:space="preserve">.</w:t>
      </w:r>
    </w:p>
    <w:bookmarkEnd w:id="138"/>
    <w:bookmarkStart w:id="140"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
        </w:rPr>
        <w:t xml:space="preserve">Advances in</w:t>
      </w:r>
      <w:r>
        <w:rPr>
          <w:i/>
        </w:rPr>
        <w:t xml:space="preserve"> </w:t>
      </w:r>
      <w:r>
        <w:rPr>
          <w:i/>
        </w:rPr>
        <w:t xml:space="preserve">Ecological Research</w:t>
      </w:r>
      <w:r>
        <w:t xml:space="preserve"> </w:t>
      </w:r>
      <w:r>
        <w:t xml:space="preserve">(Vol. 19, pp. 111–188).</w:t>
      </w:r>
      <w:r>
        <w:t xml:space="preserve"> </w:t>
      </w:r>
      <w:r>
        <w:t xml:space="preserve">Academic Press</w:t>
      </w:r>
      <w:r>
        <w:t xml:space="preserve">.</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w:t>
      </w:r>
      <w:r>
        <w:rPr>
          <w:i/>
        </w:rPr>
        <w:t xml:space="preserve">-</w:t>
      </w:r>
      <w:r>
        <w:rPr>
          <w:i/>
        </w:rPr>
        <w:t xml:space="preserve">ForestGEO</w:t>
      </w:r>
      <w:r>
        <w:rPr>
          <w:i/>
        </w:rPr>
        <w:t xml:space="preserve">/</w:t>
      </w:r>
      <w:r>
        <w:rPr>
          <w:i/>
        </w:rPr>
        <w:t xml:space="preserve">SCBI</w:t>
      </w:r>
      <w:r>
        <w:rPr>
          <w:i/>
        </w:rPr>
        <w:t xml:space="preserve">-</w:t>
      </w:r>
      <w:r>
        <w:rPr>
          <w:i/>
        </w:rPr>
        <w:t xml:space="preserve">ForestGEO</w:t>
      </w:r>
      <w:r>
        <w:rPr>
          <w:i/>
        </w:rPr>
        <w:t xml:space="preserve">-</w:t>
      </w:r>
      <w:r>
        <w:rPr>
          <w:i/>
        </w:rPr>
        <w:t xml:space="preserve">Data</w:t>
      </w:r>
      <w:r>
        <w:rPr>
          <w:i/>
        </w:rPr>
        <w:t xml:space="preserve">: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t xml:space="preserve">UPDATED HIGH</w:t>
      </w:r>
      <w:r>
        <w:t xml:space="preserve">-</w:t>
      </w:r>
      <w:r>
        <w:t xml:space="preserve">RESOLUTION GRIDS OF MONTHLY CLIMATIC OBSERVATIONS</w:t>
      </w:r>
      <w:r>
        <w:t xml:space="preserve">.</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(in review).</w:t>
      </w:r>
      <w:r>
        <w:t xml:space="preserve"> </w:t>
      </w:r>
      <w:r>
        <w:rPr>
          <w:i/>
        </w:rPr>
        <w:t xml:space="preserve">Species-specific climate-growth interactions determine the future tree species dynamics of the mixed</w:t>
      </w:r>
      <w:r>
        <w:rPr>
          <w:i/>
        </w:rPr>
        <w:t xml:space="preserve"> </w:t>
      </w:r>
      <w:r>
        <w:rPr>
          <w:i/>
        </w:rPr>
        <w:t xml:space="preserve">Central European</w:t>
      </w:r>
      <w:r>
        <w:rPr>
          <w:i/>
        </w:rPr>
        <w:t xml:space="preserve"> </w:t>
      </w:r>
      <w:r>
        <w:rPr>
          <w:i/>
        </w:rPr>
        <w:t xml:space="preserve">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w:t>
      </w:r>
      <w:r>
        <w:t xml:space="preserve"> </w:t>
      </w:r>
      <w:r>
        <w:t xml:space="preserve">CO</w:t>
      </w:r>
      <w:r>
        <w:t xml:space="preserve"> </w:t>
      </w:r>
      <w:r>
        <w:rPr>
          <w:vertAlign w:val="subscript"/>
        </w:rPr>
        <w:t xml:space="preserve">2</w:t>
      </w:r>
      <w:r>
        <w:t xml:space="preserve"> </w:t>
      </w:r>
      <w:r>
        <w:t xml:space="preserve">, and climate change on recent growth of red spruce trees in the</w:t>
      </w:r>
      <w:r>
        <w:t xml:space="preserve"> </w:t>
      </w:r>
      <w:r>
        <w:t xml:space="preserve">Central Appalachian Mountains</w:t>
      </w:r>
      <w:r>
        <w:t xml:space="preserve">.</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w:t>
      </w:r>
      <w:r>
        <w:t xml:space="preserve"> </w:t>
      </w:r>
      <w:r>
        <w:t xml:space="preserve">Univ. of Arizona Press</w:t>
      </w:r>
      <w:r>
        <w:t xml:space="preserve">.</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w:t>
      </w:r>
      <w:r>
        <w:rPr>
          <w:i/>
        </w:rPr>
        <w:t xml:space="preserve"> </w:t>
      </w:r>
      <w:r>
        <w:rPr>
          <w:i/>
        </w:rPr>
        <w:t xml:space="preserve">Introduction</w:t>
      </w:r>
      <w:r>
        <w:rPr>
          <w:i/>
        </w:rPr>
        <w:t xml:space="preserve"> </w:t>
      </w:r>
      <w:r>
        <w:rPr>
          <w:i/>
        </w:rPr>
        <w:t xml:space="preserve">to</w:t>
      </w:r>
      <w:r>
        <w:rPr>
          <w:i/>
        </w:rPr>
        <w:t xml:space="preserve"> </w:t>
      </w:r>
      <w:r>
        <w:rPr>
          <w:i/>
        </w:rPr>
        <w:t xml:space="preserve">Tree</w:t>
      </w:r>
      <w:r>
        <w:rPr>
          <w:i/>
        </w:rPr>
        <w:t xml:space="preserve">-ring</w:t>
      </w:r>
      <w:r>
        <w:rPr>
          <w:i/>
        </w:rPr>
        <w:t xml:space="preserve"> </w:t>
      </w:r>
      <w:r>
        <w:rPr>
          <w:i/>
        </w:rPr>
        <w:t xml:space="preserve">Dating</w:t>
      </w:r>
      <w:r>
        <w:t xml:space="preserve">.</w:t>
      </w:r>
      <w:r>
        <w:t xml:space="preserve"> </w:t>
      </w:r>
      <w:r>
        <w:t xml:space="preserve">University of Arizona Press</w:t>
      </w:r>
      <w:r>
        <w:t xml:space="preserve">.</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
        </w:rPr>
        <w:t xml:space="preserve">Size- and</w:t>
      </w:r>
      <w:r>
        <w:rPr>
          <w:i/>
        </w:rPr>
        <w:t xml:space="preserve"> </w:t>
      </w:r>
      <w:r>
        <w:rPr>
          <w:i/>
        </w:rPr>
        <w:t xml:space="preserve">Age</w:t>
      </w:r>
      <w:r>
        <w:rPr>
          <w:i/>
        </w:rPr>
        <w:t xml:space="preserve">-</w:t>
      </w:r>
      <w:r>
        <w:rPr>
          <w:i/>
        </w:rPr>
        <w:t xml:space="preserve">Related Changes</w:t>
      </w:r>
      <w:r>
        <w:rPr>
          <w:i/>
        </w:rPr>
        <w:t xml:space="preserve"> </w:t>
      </w:r>
      <w:r>
        <w:rPr>
          <w:i/>
        </w:rPr>
        <w:t xml:space="preserve">in</w:t>
      </w:r>
      <w:r>
        <w:rPr>
          <w:i/>
        </w:rPr>
        <w:t xml:space="preserve"> </w:t>
      </w:r>
      <w:r>
        <w:rPr>
          <w:i/>
        </w:rPr>
        <w:t xml:space="preserve">Tree Structure</w:t>
      </w:r>
      <w:r>
        <w:rPr>
          <w:i/>
        </w:rPr>
        <w:t xml:space="preserve"> </w:t>
      </w:r>
      <w:r>
        <w:rPr>
          <w:i/>
        </w:rPr>
        <w:t xml:space="preserve">and</w:t>
      </w:r>
      <w:r>
        <w:rPr>
          <w:i/>
        </w:rPr>
        <w:t xml:space="preserve"> </w:t>
      </w:r>
      <w:r>
        <w:rPr>
          <w:i/>
        </w:rPr>
        <w:t xml:space="preserve">Function</w:t>
      </w:r>
      <w:r>
        <w:t xml:space="preserve"> </w:t>
      </w:r>
      <w:r>
        <w:t xml:space="preserve">(Vol. 4, pp. 33–64).</w:t>
      </w:r>
      <w:r>
        <w:t xml:space="preserve"> </w:t>
      </w:r>
      <w:r>
        <w:t xml:space="preserve">Springer Netherlands</w:t>
      </w:r>
      <w:r>
        <w:t xml:space="preserve">.</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
        </w:rPr>
        <w:t xml:space="preserve">Journal of the Royal Statistical Society: Series B (Statistical Methodology)</w:t>
      </w:r>
      <w:r>
        <w:t xml:space="preserve">,</w:t>
      </w:r>
      <w:r>
        <w:t xml:space="preserve"> </w:t>
      </w:r>
      <w:r>
        <w:rPr>
          <w:i/>
        </w:rPr>
        <w:t xml:space="preserve">73</w:t>
      </w:r>
      <w:r>
        <w:t xml:space="preserve">(1), 3–36.</w:t>
      </w:r>
      <w:r>
        <w:t xml:space="preserve"> </w:t>
      </w:r>
      <w:hyperlink r:id="rId263">
        <w:r>
          <w:rPr>
            <w:rStyle w:val="Hyperlink"/>
          </w:rPr>
          <w:t xml:space="preserve">https://doi.org/10.1111/j.1467-9868.2010.00749.x</w:t>
        </w:r>
      </w:hyperlink>
    </w:p>
    <w:bookmarkEnd w:id="264"/>
    <w:bookmarkStart w:id="266"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
        </w:rPr>
        <w:t xml:space="preserve">The Holocene</w:t>
      </w:r>
      <w:r>
        <w:t xml:space="preserve">.</w:t>
      </w:r>
      <w:r>
        <w:t xml:space="preserve"> </w:t>
      </w:r>
      <w:hyperlink r:id="rId265">
        <w:r>
          <w:rPr>
            <w:rStyle w:val="Hyperlink"/>
          </w:rPr>
          <w:t xml:space="preserve">https://doi.org/10.1191/095968399667128516</w:t>
        </w:r>
      </w:hyperlink>
    </w:p>
    <w:bookmarkEnd w:id="266"/>
    <w:bookmarkStart w:id="26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7">
        <w:r>
          <w:rPr>
            <w:rStyle w:val="Hyperlink"/>
          </w:rPr>
          <w:t xml:space="preserve">https://doi.org/10.1016/j.dendro.2012.08.001</w:t>
        </w:r>
      </w:hyperlink>
    </w:p>
    <w:bookmarkEnd w:id="268"/>
    <w:bookmarkStart w:id="270"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9">
        <w:r>
          <w:rPr>
            <w:rStyle w:val="Hyperlink"/>
          </w:rPr>
          <w:t xml:space="preserve">https://doi.org/10.1111/ecog.01335</w:t>
        </w:r>
      </w:hyperlink>
    </w:p>
    <w:bookmarkEnd w:id="270"/>
    <w:bookmarkStart w:id="272"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71">
        <w:r>
          <w:rPr>
            <w:rStyle w:val="Hyperlink"/>
          </w:rPr>
          <w:t xml:space="preserve">https://doi.org/10.1111/gcb.15092</w:t>
        </w:r>
      </w:hyperlink>
    </w:p>
    <w:bookmarkEnd w:id="272"/>
    <w:bookmarkEnd w:id="273"/>
    <w:bookmarkEnd w:id="274"/>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7"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9"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71"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63" Target="https://doi.org/10.1111/j.1467-9868.2010.00749.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08"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5" Target="https://doi.org/10.1191/095968399667128516" TargetMode="External" /><Relationship Type="http://schemas.openxmlformats.org/officeDocument/2006/relationships/hyperlink" Id="rId253" Target="https://doi.org/10.1890/0012-9615(2006)076[0549:HCGEDW]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80" Target="https://www.ncdc.noaa.gov/paleo-search/study/31994" TargetMode="External" /><Relationship Type="http://schemas.openxmlformats.org/officeDocument/2006/relationships/hyperlink" Id="rId82" Target="https://www.ncdc.noaa.gov/paleo-search/study/31995" TargetMode="External" /><Relationship Type="http://schemas.openxmlformats.org/officeDocument/2006/relationships/hyperlink" Id="rId84" Target="https://www.ncdc.noaa.gov/paleo-search/study/31996" TargetMode="External" /><Relationship Type="http://schemas.openxmlformats.org/officeDocument/2006/relationships/hyperlink" Id="rId86" Target="https://www.ncdc.noaa.gov/paleo-search/study/31997"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2021-02-12T11:50:35Z</dcterms:created>
  <dcterms:modified xsi:type="dcterms:W3CDTF">2021-02-12T11:50:35Z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